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DA" w:rsidRPr="005C729F" w:rsidRDefault="005C729F">
      <w:pPr>
        <w:rPr>
          <w:rFonts w:ascii="Times New Roman" w:hAnsi="Times New Roman" w:cs="Times New Roman"/>
          <w:sz w:val="28"/>
          <w:szCs w:val="28"/>
        </w:rPr>
      </w:pPr>
      <w:r w:rsidRPr="005C729F">
        <w:rPr>
          <w:rFonts w:ascii="Times New Roman" w:hAnsi="Times New Roman" w:cs="Times New Roman"/>
          <w:sz w:val="28"/>
          <w:szCs w:val="28"/>
        </w:rPr>
        <w:t xml:space="preserve"> Risktaseme hindamisel </w:t>
      </w:r>
      <w:r w:rsidRPr="005C729F">
        <w:rPr>
          <w:rFonts w:ascii="Times New Roman" w:hAnsi="Times New Roman" w:cs="Times New Roman"/>
          <w:sz w:val="28"/>
          <w:szCs w:val="28"/>
        </w:rPr>
        <w:t>võib lähtuda</w:t>
      </w:r>
      <w:r w:rsidRPr="005C729F">
        <w:rPr>
          <w:rFonts w:ascii="Times New Roman" w:hAnsi="Times New Roman" w:cs="Times New Roman"/>
          <w:sz w:val="28"/>
          <w:szCs w:val="28"/>
        </w:rPr>
        <w:t xml:space="preserve"> Briti standardi BS 8800:2004 maatriksist (tabel 1).</w:t>
      </w:r>
    </w:p>
    <w:p w:rsidR="005C729F" w:rsidRPr="005C729F" w:rsidRDefault="005C729F" w:rsidP="005C729F">
      <w:pPr>
        <w:jc w:val="right"/>
        <w:rPr>
          <w:rFonts w:ascii="Times New Roman" w:hAnsi="Times New Roman" w:cs="Times New Roman"/>
          <w:b/>
          <w:sz w:val="24"/>
          <w:szCs w:val="24"/>
        </w:rPr>
      </w:pPr>
      <w:bookmarkStart w:id="0" w:name="_GoBack"/>
      <w:proofErr w:type="spellStart"/>
      <w:r w:rsidRPr="005C729F">
        <w:rPr>
          <w:rFonts w:ascii="Times New Roman" w:hAnsi="Times New Roman" w:cs="Times New Roman"/>
          <w:b/>
          <w:sz w:val="24"/>
          <w:szCs w:val="24"/>
        </w:rPr>
        <w:t>Tablel</w:t>
      </w:r>
      <w:proofErr w:type="spellEnd"/>
      <w:r w:rsidRPr="005C729F">
        <w:rPr>
          <w:rFonts w:ascii="Times New Roman" w:hAnsi="Times New Roman" w:cs="Times New Roman"/>
          <w:b/>
          <w:sz w:val="24"/>
          <w:szCs w:val="24"/>
        </w:rPr>
        <w:t xml:space="preserve"> 1. BS8800 standardi  üldine riskimaatriks</w:t>
      </w:r>
    </w:p>
    <w:bookmarkEnd w:id="0"/>
    <w:p w:rsidR="005C729F" w:rsidRDefault="005C729F">
      <w:r>
        <w:rPr>
          <w:noProof/>
        </w:rPr>
        <w:drawing>
          <wp:inline distT="0" distB="0" distL="0" distR="0">
            <wp:extent cx="5753100" cy="29413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941320"/>
                    </a:xfrm>
                    <a:prstGeom prst="rect">
                      <a:avLst/>
                    </a:prstGeom>
                    <a:noFill/>
                    <a:ln>
                      <a:noFill/>
                    </a:ln>
                  </pic:spPr>
                </pic:pic>
              </a:graphicData>
            </a:graphic>
          </wp:inline>
        </w:drawing>
      </w:r>
    </w:p>
    <w:p w:rsidR="005C729F" w:rsidRPr="005C729F" w:rsidRDefault="005C729F">
      <w:pPr>
        <w:rPr>
          <w:b/>
        </w:rPr>
      </w:pPr>
    </w:p>
    <w:p w:rsidR="005C729F" w:rsidRPr="005C729F" w:rsidRDefault="005C729F">
      <w:pPr>
        <w:rPr>
          <w:rFonts w:ascii="Times New Roman" w:hAnsi="Times New Roman" w:cs="Times New Roman"/>
          <w:sz w:val="24"/>
          <w:szCs w:val="24"/>
        </w:rPr>
      </w:pPr>
      <w:r w:rsidRPr="005C729F">
        <w:rPr>
          <w:rFonts w:ascii="Times New Roman" w:hAnsi="Times New Roman" w:cs="Times New Roman"/>
          <w:b/>
          <w:sz w:val="24"/>
          <w:szCs w:val="24"/>
        </w:rPr>
        <w:t>Vähene risk (I tase)</w:t>
      </w:r>
      <w:r w:rsidRPr="005C729F">
        <w:rPr>
          <w:rFonts w:ascii="Times New Roman" w:hAnsi="Times New Roman" w:cs="Times New Roman"/>
          <w:sz w:val="24"/>
          <w:szCs w:val="24"/>
        </w:rPr>
        <w:t xml:space="preserve"> – erilisi abinõusid ei vajata. </w:t>
      </w:r>
    </w:p>
    <w:p w:rsidR="005C729F" w:rsidRPr="005C729F" w:rsidRDefault="005C729F">
      <w:pPr>
        <w:rPr>
          <w:rFonts w:ascii="Times New Roman" w:hAnsi="Times New Roman" w:cs="Times New Roman"/>
          <w:sz w:val="24"/>
          <w:szCs w:val="24"/>
        </w:rPr>
      </w:pPr>
      <w:r w:rsidRPr="005C729F">
        <w:rPr>
          <w:rFonts w:ascii="Times New Roman" w:hAnsi="Times New Roman" w:cs="Times New Roman"/>
          <w:b/>
          <w:sz w:val="24"/>
          <w:szCs w:val="24"/>
        </w:rPr>
        <w:t>Vastuvõetav risk (II tase)</w:t>
      </w:r>
      <w:r w:rsidRPr="005C729F">
        <w:rPr>
          <w:rFonts w:ascii="Times New Roman" w:hAnsi="Times New Roman" w:cs="Times New Roman"/>
          <w:sz w:val="24"/>
          <w:szCs w:val="24"/>
        </w:rPr>
        <w:t xml:space="preserve"> – üldjuhul lisaabinõude rakendamine ei ole vajalik, kuid oluline on pidev ohutusabinõude teadmine ja täitmine ning töökoha üldine korrashoid, samuti tuleb need arvesse võtta töötervishoiu ja tööohutuse tegevuskava koostamisel. </w:t>
      </w:r>
    </w:p>
    <w:p w:rsidR="005C729F" w:rsidRPr="005C729F" w:rsidRDefault="005C729F">
      <w:pPr>
        <w:rPr>
          <w:rFonts w:ascii="Times New Roman" w:hAnsi="Times New Roman" w:cs="Times New Roman"/>
          <w:sz w:val="24"/>
          <w:szCs w:val="24"/>
        </w:rPr>
      </w:pPr>
      <w:r w:rsidRPr="005C729F">
        <w:rPr>
          <w:rFonts w:ascii="Times New Roman" w:hAnsi="Times New Roman" w:cs="Times New Roman"/>
          <w:b/>
          <w:sz w:val="24"/>
          <w:szCs w:val="24"/>
        </w:rPr>
        <w:t>Keskmine risk (III tase)</w:t>
      </w:r>
      <w:r w:rsidRPr="005C729F">
        <w:rPr>
          <w:rFonts w:ascii="Times New Roman" w:hAnsi="Times New Roman" w:cs="Times New Roman"/>
          <w:sz w:val="24"/>
          <w:szCs w:val="24"/>
        </w:rPr>
        <w:t xml:space="preserve"> – tuleb planeerida meetmed sõltuvalt ohuteguri võimalikust kahjulikkusest. </w:t>
      </w:r>
    </w:p>
    <w:p w:rsidR="005C729F" w:rsidRPr="005C729F" w:rsidRDefault="005C729F">
      <w:pPr>
        <w:rPr>
          <w:rFonts w:ascii="Times New Roman" w:hAnsi="Times New Roman" w:cs="Times New Roman"/>
          <w:sz w:val="24"/>
          <w:szCs w:val="24"/>
        </w:rPr>
      </w:pPr>
      <w:r w:rsidRPr="005C729F">
        <w:rPr>
          <w:rFonts w:ascii="Times New Roman" w:hAnsi="Times New Roman" w:cs="Times New Roman"/>
          <w:b/>
          <w:sz w:val="24"/>
          <w:szCs w:val="24"/>
        </w:rPr>
        <w:t>Suur risk (IV tase)</w:t>
      </w:r>
      <w:r w:rsidRPr="005C729F">
        <w:rPr>
          <w:rFonts w:ascii="Times New Roman" w:hAnsi="Times New Roman" w:cs="Times New Roman"/>
          <w:sz w:val="24"/>
          <w:szCs w:val="24"/>
        </w:rPr>
        <w:t xml:space="preserve"> – nimetatud ohud nõuavad kiiret abinõude rakendamist. Väga suur risk (V tase) – riski vähendamine on vältimatu. Töid ei tohi jätkata ega alustada enne, kui risk on kõrvaldatud või vähendatud. Kui vähendamiseks vajalikke abinõusid ei saa rakendada vahendite puudumise tõttu on töö ohualas keelatud.</w:t>
      </w:r>
    </w:p>
    <w:sectPr w:rsidR="005C729F" w:rsidRPr="005C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9F"/>
    <w:rsid w:val="00036DB8"/>
    <w:rsid w:val="005C729F"/>
    <w:rsid w:val="007561DA"/>
    <w:rsid w:val="00BC5F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141"/>
  <w15:chartTrackingRefBased/>
  <w15:docId w15:val="{C6A0B5AB-71BD-43E5-88F2-96BBA337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740</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2018-10-18T10:38:00Z</dcterms:created>
  <dcterms:modified xsi:type="dcterms:W3CDTF">2018-10-18T10:42:00Z</dcterms:modified>
</cp:coreProperties>
</file>